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2E975F3C" w:rsidR="00C354DC" w:rsidRPr="00C354DC" w:rsidRDefault="00C354DC" w:rsidP="00C354DC">
      <w:pPr>
        <w:pStyle w:val="3GPPHeader"/>
        <w:rPr>
          <w:bCs/>
          <w:sz w:val="22"/>
        </w:rPr>
      </w:pPr>
      <w:bookmarkStart w:id="0" w:name="_GoBack"/>
      <w:bookmarkEnd w:id="0"/>
      <w:r w:rsidRPr="00C354DC">
        <w:rPr>
          <w:bCs/>
          <w:sz w:val="22"/>
        </w:rPr>
        <w:t>3</w:t>
      </w:r>
      <w:r>
        <w:rPr>
          <w:bCs/>
          <w:sz w:val="22"/>
        </w:rPr>
        <w:t xml:space="preserve">GPP TSG RAN WG1 Meeting 90bis </w:t>
      </w:r>
      <w:r>
        <w:rPr>
          <w:bCs/>
          <w:sz w:val="22"/>
        </w:rPr>
        <w:tab/>
      </w:r>
      <w:r w:rsidR="0010134D" w:rsidRPr="0010134D">
        <w:rPr>
          <w:bCs/>
          <w:sz w:val="22"/>
        </w:rPr>
        <w:t>R1-1718687</w:t>
      </w:r>
    </w:p>
    <w:p w14:paraId="0CFB86FD" w14:textId="77777777" w:rsidR="00C354DC" w:rsidRDefault="00C354DC" w:rsidP="00C354DC">
      <w:pPr>
        <w:pStyle w:val="3GPPHeader"/>
        <w:rPr>
          <w:bCs/>
          <w:sz w:val="22"/>
        </w:rPr>
      </w:pPr>
      <w:r w:rsidRPr="00C354DC">
        <w:rPr>
          <w:bCs/>
          <w:sz w:val="22"/>
        </w:rPr>
        <w:t>Prague, CZ, 9th – 13th, October 2017</w:t>
      </w:r>
    </w:p>
    <w:p w14:paraId="606D9DC9" w14:textId="22522E2A" w:rsidR="00E90E49" w:rsidRPr="007B78FE" w:rsidRDefault="00E90E49" w:rsidP="00C354DC">
      <w:pPr>
        <w:pStyle w:val="3GPPHeader"/>
        <w:rPr>
          <w:sz w:val="22"/>
        </w:rPr>
      </w:pPr>
      <w:r w:rsidRPr="007B78FE">
        <w:rPr>
          <w:sz w:val="22"/>
        </w:rPr>
        <w:t>Agenda Item:</w:t>
      </w:r>
      <w:r w:rsidRPr="007B78FE">
        <w:rPr>
          <w:sz w:val="22"/>
        </w:rPr>
        <w:tab/>
      </w:r>
      <w:r w:rsidR="00C354DC">
        <w:rPr>
          <w:sz w:val="22"/>
        </w:rPr>
        <w:t>7.3.</w:t>
      </w:r>
      <w:r w:rsidR="0030754A">
        <w:rPr>
          <w:sz w:val="22"/>
        </w:rPr>
        <w:t>6</w:t>
      </w:r>
    </w:p>
    <w:p w14:paraId="684B06A7" w14:textId="77777777" w:rsidR="00E90E49" w:rsidRPr="007B78FE" w:rsidRDefault="003D3C45" w:rsidP="00F64C2B">
      <w:pPr>
        <w:pStyle w:val="3GPPHeader"/>
        <w:rPr>
          <w:sz w:val="22"/>
        </w:rPr>
      </w:pPr>
      <w:r w:rsidRPr="007B78FE">
        <w:rPr>
          <w:sz w:val="22"/>
        </w:rPr>
        <w:t>Source:</w:t>
      </w:r>
      <w:r w:rsidR="00E90E49" w:rsidRPr="007B78FE">
        <w:rPr>
          <w:sz w:val="22"/>
        </w:rPr>
        <w:tab/>
      </w:r>
      <w:r w:rsidR="00F64C2B" w:rsidRPr="007B78FE">
        <w:rPr>
          <w:sz w:val="22"/>
        </w:rPr>
        <w:t>Ericsson</w:t>
      </w:r>
    </w:p>
    <w:p w14:paraId="214B1E52" w14:textId="552286BB" w:rsidR="00E90E49" w:rsidRPr="007B78FE" w:rsidRDefault="003D3C45" w:rsidP="00547F4D">
      <w:pPr>
        <w:pStyle w:val="3GPPHeader"/>
        <w:ind w:left="1701" w:hanging="1701"/>
        <w:rPr>
          <w:sz w:val="22"/>
        </w:rPr>
      </w:pPr>
      <w:r w:rsidRPr="007B78FE">
        <w:rPr>
          <w:sz w:val="22"/>
        </w:rPr>
        <w:t>Title:</w:t>
      </w:r>
      <w:r w:rsidR="006B5B0F" w:rsidRPr="007B78FE">
        <w:rPr>
          <w:sz w:val="22"/>
        </w:rPr>
        <w:tab/>
      </w:r>
      <w:r w:rsidR="0030754A" w:rsidRPr="0030754A">
        <w:rPr>
          <w:sz w:val="22"/>
        </w:rPr>
        <w:t>Open issues on RRC parameters for CA, BWP and rate matching aspects</w:t>
      </w:r>
    </w:p>
    <w:p w14:paraId="59D6E79C" w14:textId="5E479DB4" w:rsidR="00E90E49" w:rsidRPr="007B78FE" w:rsidRDefault="00E90E49" w:rsidP="00D546FF">
      <w:pPr>
        <w:pStyle w:val="3GPPHeader"/>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12D4C012" w:rsidR="00D538F4" w:rsidRDefault="00C354DC" w:rsidP="00D538F4">
      <w:pPr>
        <w:pStyle w:val="BodyText"/>
      </w:pPr>
      <w:r>
        <w:t xml:space="preserve">In this contribution, we aim to highlight the open issues related to RRC parameters that would need to be finalized during this meeting. The contribution focused on </w:t>
      </w:r>
      <w:r w:rsidR="0030754A" w:rsidRPr="0030754A">
        <w:t>CA, BWP and rate matching aspects</w:t>
      </w:r>
      <w:r w:rsidR="00AC3910">
        <w:t>.</w:t>
      </w:r>
    </w:p>
    <w:p w14:paraId="2DFAC73A" w14:textId="249B16C3" w:rsidR="00EA60F2" w:rsidRDefault="00C354DC" w:rsidP="000B0589">
      <w:pPr>
        <w:pStyle w:val="Heading1"/>
        <w:rPr>
          <w:lang w:val="en-US"/>
        </w:rPr>
      </w:pPr>
      <w:r>
        <w:rPr>
          <w:lang w:val="en-US"/>
        </w:rPr>
        <w:t>Discussion</w:t>
      </w:r>
    </w:p>
    <w:p w14:paraId="6454C1EB" w14:textId="4B0037DD" w:rsidR="003E3B11" w:rsidRDefault="00C354DC" w:rsidP="00C354DC">
      <w:pPr>
        <w:pStyle w:val="BodyText"/>
        <w:spacing w:after="240"/>
      </w:pPr>
      <w:r>
        <w:t xml:space="preserve">For each of the topics within the </w:t>
      </w:r>
      <w:r w:rsidR="0030754A" w:rsidRPr="0030754A">
        <w:t xml:space="preserve">CA, BWP and rate matching </w:t>
      </w:r>
      <w:r>
        <w:t xml:space="preserve">we try to highlight the open issues to </w:t>
      </w:r>
      <w:r w:rsidR="00C034F1">
        <w:t>facilitate</w:t>
      </w:r>
      <w:r>
        <w:t xml:space="preserve"> a better targeted discussion during RAN1 #90bis.</w:t>
      </w:r>
    </w:p>
    <w:p w14:paraId="0A4A0536" w14:textId="27962F1F" w:rsidR="007F36F8" w:rsidRDefault="007F36F8" w:rsidP="007F36F8">
      <w:pPr>
        <w:pStyle w:val="Heading2"/>
      </w:pPr>
      <w:r>
        <w:t>Other aspects on bandwidth Parts</w:t>
      </w:r>
    </w:p>
    <w:p w14:paraId="479A7687" w14:textId="676C6B03" w:rsidR="007F36F8" w:rsidRPr="007F36F8" w:rsidRDefault="007F36F8" w:rsidP="007F36F8">
      <w:r>
        <w:t xml:space="preserve">The bandwidth part discussion has progressed to some extent, but the framework as such needs to be put in places. </w:t>
      </w:r>
      <w:r w:rsidR="0010134D">
        <w:t xml:space="preserve">What bandwidth assumption the UE should make when accessing the network would need to be outline but that is related both to the initial access discussion and bandwidth part discussion. </w:t>
      </w:r>
      <w:r>
        <w:t xml:space="preserve">Further the sizes of the bandwidth parts have not been defined neither have any parameter been introduced related to the actual RF bandwidth of the carrier if such a parameter is needed. </w:t>
      </w:r>
      <w:r w:rsidR="0010134D">
        <w:t>In general, however the whole concept of bandwidth parts would need to be defined more solid to be able to determine the applicable parameters. Parts of this is also that the actual bandwidth part sizes has not been determined yet and would need to be defined. Within LTE some similar task was done by RAN4.</w:t>
      </w:r>
    </w:p>
    <w:tbl>
      <w:tblPr>
        <w:tblW w:w="9356" w:type="dxa"/>
        <w:tblInd w:w="70" w:type="dxa"/>
        <w:tblCellMar>
          <w:top w:w="15" w:type="dxa"/>
          <w:left w:w="70" w:type="dxa"/>
          <w:bottom w:w="15" w:type="dxa"/>
          <w:right w:w="70" w:type="dxa"/>
        </w:tblCellMar>
        <w:tblLook w:val="04A0" w:firstRow="1" w:lastRow="0" w:firstColumn="1" w:lastColumn="0" w:noHBand="0" w:noVBand="1"/>
      </w:tblPr>
      <w:tblGrid>
        <w:gridCol w:w="1560"/>
        <w:gridCol w:w="2693"/>
        <w:gridCol w:w="2410"/>
        <w:gridCol w:w="2693"/>
      </w:tblGrid>
      <w:tr w:rsidR="007F36F8" w:rsidRPr="007F36F8" w14:paraId="4C564B69" w14:textId="77777777" w:rsidTr="007F36F8">
        <w:trPr>
          <w:trHeight w:val="675"/>
        </w:trPr>
        <w:tc>
          <w:tcPr>
            <w:tcW w:w="1560" w:type="dxa"/>
            <w:tcBorders>
              <w:top w:val="single" w:sz="4" w:space="0" w:color="auto"/>
              <w:left w:val="single" w:sz="4" w:space="0" w:color="auto"/>
              <w:bottom w:val="single" w:sz="4" w:space="0" w:color="auto"/>
              <w:right w:val="single" w:sz="4" w:space="0" w:color="auto"/>
            </w:tcBorders>
            <w:vAlign w:val="center"/>
            <w:hideMark/>
          </w:tcPr>
          <w:p w14:paraId="2763D2CC" w14:textId="77777777" w:rsidR="007F36F8" w:rsidRPr="007F36F8" w:rsidRDefault="007F36F8" w:rsidP="007F36F8">
            <w:pPr>
              <w:spacing w:after="0"/>
              <w:jc w:val="center"/>
              <w:rPr>
                <w:rFonts w:cs="Arial"/>
                <w:color w:val="FF0000"/>
                <w:sz w:val="16"/>
                <w:szCs w:val="16"/>
                <w:lang w:val="sv-SE" w:eastAsia="sv-SE"/>
              </w:rPr>
            </w:pPr>
            <w:r w:rsidRPr="007F36F8">
              <w:rPr>
                <w:rFonts w:cs="Arial"/>
                <w:color w:val="FF0000"/>
                <w:sz w:val="16"/>
                <w:szCs w:val="16"/>
                <w:lang w:val="sv-SE" w:eastAsia="sv-SE"/>
              </w:rPr>
              <w:t>DL-BWP-mu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9AA205" w14:textId="77777777" w:rsidR="007F36F8" w:rsidRPr="007F36F8" w:rsidRDefault="007F36F8" w:rsidP="007F36F8">
            <w:pPr>
              <w:spacing w:after="0"/>
              <w:rPr>
                <w:rFonts w:cs="Arial"/>
                <w:sz w:val="16"/>
                <w:szCs w:val="16"/>
                <w:lang w:val="sv-SE" w:eastAsia="sv-SE"/>
              </w:rPr>
            </w:pPr>
            <w:r w:rsidRPr="007F36F8">
              <w:rPr>
                <w:rFonts w:cs="Arial"/>
                <w:sz w:val="16"/>
                <w:szCs w:val="16"/>
                <w:lang w:eastAsia="sv-SE"/>
              </w:rPr>
              <w:t xml:space="preserve">• The subcarrier spacing of DL BWP configuration is applied to at least PDCCH, PDSCH &amp; corresponding DMRS. </w:t>
            </w:r>
            <w:r w:rsidRPr="007F36F8">
              <w:rPr>
                <w:rFonts w:cs="Arial"/>
                <w:sz w:val="16"/>
                <w:szCs w:val="16"/>
                <w:lang w:val="sv-SE" w:eastAsia="sv-SE"/>
              </w:rPr>
              <w:t>Table 4.1-2 in 38.211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6465F5A"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0,1, 2, 3, 4 or 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C4C8C0" w14:textId="77777777" w:rsidR="007F36F8" w:rsidRPr="007F36F8" w:rsidRDefault="007F36F8" w:rsidP="007F36F8">
            <w:pPr>
              <w:spacing w:after="0"/>
              <w:jc w:val="center"/>
              <w:rPr>
                <w:rFonts w:cs="Arial"/>
                <w:sz w:val="16"/>
                <w:szCs w:val="16"/>
                <w:lang w:val="sv-SE" w:eastAsia="sv-SE"/>
              </w:rPr>
            </w:pPr>
          </w:p>
        </w:tc>
      </w:tr>
      <w:tr w:rsidR="007F36F8" w:rsidRPr="007F36F8" w14:paraId="0847ECA8" w14:textId="77777777" w:rsidTr="007F36F8">
        <w:trPr>
          <w:trHeight w:val="450"/>
        </w:trPr>
        <w:tc>
          <w:tcPr>
            <w:tcW w:w="1560" w:type="dxa"/>
            <w:tcBorders>
              <w:top w:val="single" w:sz="4" w:space="0" w:color="auto"/>
              <w:left w:val="single" w:sz="4" w:space="0" w:color="auto"/>
              <w:bottom w:val="single" w:sz="4" w:space="0" w:color="auto"/>
              <w:right w:val="single" w:sz="4" w:space="0" w:color="auto"/>
            </w:tcBorders>
            <w:vAlign w:val="center"/>
            <w:hideMark/>
          </w:tcPr>
          <w:p w14:paraId="797393E3" w14:textId="77777777" w:rsidR="007F36F8" w:rsidRPr="007F36F8" w:rsidRDefault="007F36F8" w:rsidP="007F36F8">
            <w:pPr>
              <w:spacing w:after="0"/>
              <w:jc w:val="center"/>
              <w:rPr>
                <w:rFonts w:cs="Arial"/>
                <w:color w:val="FF0000"/>
                <w:sz w:val="16"/>
                <w:szCs w:val="16"/>
                <w:lang w:val="sv-SE" w:eastAsia="sv-SE"/>
              </w:rPr>
            </w:pPr>
            <w:r w:rsidRPr="007F36F8">
              <w:rPr>
                <w:rFonts w:cs="Arial"/>
                <w:color w:val="FF0000"/>
                <w:sz w:val="16"/>
                <w:szCs w:val="16"/>
                <w:lang w:val="sv-SE" w:eastAsia="sv-SE"/>
              </w:rPr>
              <w:t>UL-BWP-mu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FD69CB" w14:textId="77777777" w:rsidR="007F36F8" w:rsidRPr="007F36F8" w:rsidRDefault="007F36F8" w:rsidP="007F36F8">
            <w:pPr>
              <w:spacing w:after="0"/>
              <w:rPr>
                <w:rFonts w:cs="Arial"/>
                <w:sz w:val="16"/>
                <w:szCs w:val="16"/>
                <w:lang w:eastAsia="sv-SE"/>
              </w:rPr>
            </w:pPr>
            <w:r w:rsidRPr="007F36F8">
              <w:rPr>
                <w:rFonts w:cs="Arial"/>
                <w:sz w:val="16"/>
                <w:szCs w:val="16"/>
                <w:lang w:eastAsia="sv-SE"/>
              </w:rPr>
              <w:t xml:space="preserve">• The subcarrier spacing of UL BWP configuration is applied to at least PUCCH, PUSCH &amp; corresponding DMRS.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D0742D"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0,1, 2, 3, 4 or 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05BD9C" w14:textId="77777777" w:rsidR="007F36F8" w:rsidRPr="007F36F8" w:rsidRDefault="007F36F8" w:rsidP="007F36F8">
            <w:pPr>
              <w:spacing w:after="0"/>
              <w:jc w:val="center"/>
              <w:rPr>
                <w:rFonts w:cs="Arial"/>
                <w:sz w:val="16"/>
                <w:szCs w:val="16"/>
                <w:lang w:val="sv-SE" w:eastAsia="sv-SE"/>
              </w:rPr>
            </w:pPr>
          </w:p>
        </w:tc>
      </w:tr>
      <w:tr w:rsidR="007F36F8" w:rsidRPr="007F36F8" w14:paraId="3903ACC5" w14:textId="77777777" w:rsidTr="007F36F8">
        <w:trPr>
          <w:trHeight w:val="675"/>
        </w:trPr>
        <w:tc>
          <w:tcPr>
            <w:tcW w:w="1560" w:type="dxa"/>
            <w:tcBorders>
              <w:top w:val="single" w:sz="4" w:space="0" w:color="auto"/>
              <w:left w:val="single" w:sz="4" w:space="0" w:color="auto"/>
              <w:bottom w:val="single" w:sz="4" w:space="0" w:color="auto"/>
              <w:right w:val="single" w:sz="4" w:space="0" w:color="auto"/>
            </w:tcBorders>
            <w:vAlign w:val="center"/>
            <w:hideMark/>
          </w:tcPr>
          <w:p w14:paraId="64AA3DE5"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DL-BWP-cp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564A9" w14:textId="77777777" w:rsidR="007F36F8" w:rsidRPr="007F36F8" w:rsidRDefault="007F36F8" w:rsidP="007F36F8">
            <w:pPr>
              <w:spacing w:after="0"/>
              <w:rPr>
                <w:rFonts w:cs="Arial"/>
                <w:sz w:val="16"/>
                <w:szCs w:val="16"/>
                <w:lang w:eastAsia="sv-SE"/>
              </w:rPr>
            </w:pPr>
            <w:r w:rsidRPr="007F36F8">
              <w:rPr>
                <w:rFonts w:cs="Arial"/>
                <w:sz w:val="16"/>
                <w:szCs w:val="16"/>
                <w:lang w:eastAsia="sv-SE"/>
              </w:rPr>
              <w:t>Configure the CP for the bandwidth part. Support CPs are normal CP (for all numerologies and slot formats), extended CP for 60 kHz numerology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C3ABDE"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Normal CP, Extended CP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A542E2"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Normal CP</w:t>
            </w:r>
          </w:p>
        </w:tc>
      </w:tr>
      <w:tr w:rsidR="007F36F8" w:rsidRPr="007F36F8" w14:paraId="016D897C" w14:textId="77777777" w:rsidTr="007F36F8">
        <w:trPr>
          <w:trHeight w:val="675"/>
        </w:trPr>
        <w:tc>
          <w:tcPr>
            <w:tcW w:w="1560" w:type="dxa"/>
            <w:tcBorders>
              <w:top w:val="single" w:sz="4" w:space="0" w:color="auto"/>
              <w:left w:val="single" w:sz="4" w:space="0" w:color="auto"/>
              <w:bottom w:val="single" w:sz="4" w:space="0" w:color="auto"/>
              <w:right w:val="single" w:sz="4" w:space="0" w:color="auto"/>
            </w:tcBorders>
            <w:vAlign w:val="center"/>
            <w:hideMark/>
          </w:tcPr>
          <w:p w14:paraId="68555F50"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UL-BWP-cp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367EFE" w14:textId="77777777" w:rsidR="007F36F8" w:rsidRPr="007F36F8" w:rsidRDefault="007F36F8" w:rsidP="007F36F8">
            <w:pPr>
              <w:spacing w:after="0"/>
              <w:rPr>
                <w:rFonts w:cs="Arial"/>
                <w:sz w:val="16"/>
                <w:szCs w:val="16"/>
                <w:lang w:eastAsia="sv-SE"/>
              </w:rPr>
            </w:pPr>
            <w:r w:rsidRPr="007F36F8">
              <w:rPr>
                <w:rFonts w:cs="Arial"/>
                <w:sz w:val="16"/>
                <w:szCs w:val="16"/>
                <w:lang w:eastAsia="sv-SE"/>
              </w:rPr>
              <w:t>Configure the CP for the bandwidth part. Support CPs are normal CP (for all numerologies and slot formats), extended CP for 60 kHz numerology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B2A492"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Normal CP, Extended CP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606E20"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Normal CP</w:t>
            </w:r>
          </w:p>
        </w:tc>
      </w:tr>
      <w:tr w:rsidR="007F36F8" w:rsidRPr="007F36F8" w14:paraId="2CD65815" w14:textId="77777777" w:rsidTr="007F36F8">
        <w:trPr>
          <w:trHeight w:val="225"/>
        </w:trPr>
        <w:tc>
          <w:tcPr>
            <w:tcW w:w="1560" w:type="dxa"/>
            <w:tcBorders>
              <w:top w:val="single" w:sz="4" w:space="0" w:color="auto"/>
              <w:left w:val="single" w:sz="4" w:space="0" w:color="auto"/>
              <w:bottom w:val="single" w:sz="4" w:space="0" w:color="auto"/>
              <w:right w:val="single" w:sz="4" w:space="0" w:color="auto"/>
            </w:tcBorders>
            <w:vAlign w:val="center"/>
            <w:hideMark/>
          </w:tcPr>
          <w:p w14:paraId="1E5017BA"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lastRenderedPageBreak/>
              <w:t>DL-BWP-BW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1AAFF82" w14:textId="722F5CB5" w:rsidR="007F36F8" w:rsidRPr="007F36F8" w:rsidRDefault="007F36F8" w:rsidP="007F36F8">
            <w:pPr>
              <w:spacing w:after="0"/>
              <w:rPr>
                <w:rFonts w:cs="Arial"/>
                <w:sz w:val="16"/>
                <w:szCs w:val="16"/>
                <w:lang w:eastAsia="sv-SE"/>
              </w:rPr>
            </w:pPr>
            <w:r w:rsidRPr="007F36F8">
              <w:rPr>
                <w:rFonts w:cs="Arial"/>
                <w:sz w:val="16"/>
                <w:szCs w:val="16"/>
                <w:lang w:eastAsia="sv-SE"/>
              </w:rPr>
              <w:t xml:space="preserve">The applicable </w:t>
            </w:r>
            <w:r w:rsidR="002A6563" w:rsidRPr="007F36F8">
              <w:rPr>
                <w:rFonts w:cs="Arial"/>
                <w:sz w:val="16"/>
                <w:szCs w:val="16"/>
                <w:lang w:eastAsia="sv-SE"/>
              </w:rPr>
              <w:t>bandwidth</w:t>
            </w:r>
            <w:r w:rsidRPr="007F36F8">
              <w:rPr>
                <w:rFonts w:cs="Arial"/>
                <w:sz w:val="16"/>
                <w:szCs w:val="16"/>
                <w:lang w:eastAsia="sv-SE"/>
              </w:rPr>
              <w:t xml:space="preserve"> for the configured DL BWP</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818D5E7" w14:textId="77777777" w:rsidR="007F36F8" w:rsidRPr="007F36F8" w:rsidRDefault="007F36F8" w:rsidP="007F36F8">
            <w:pPr>
              <w:spacing w:after="0"/>
              <w:rPr>
                <w:rFonts w:cs="Arial"/>
                <w:sz w:val="16"/>
                <w:szCs w:val="16"/>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D2B0D3" w14:textId="77777777" w:rsidR="007F36F8" w:rsidRPr="007F36F8" w:rsidRDefault="007F36F8" w:rsidP="007F36F8">
            <w:pPr>
              <w:spacing w:after="0"/>
              <w:jc w:val="center"/>
              <w:rPr>
                <w:rFonts w:ascii="Times New Roman" w:hAnsi="Times New Roman"/>
                <w:lang w:eastAsia="sv-SE"/>
              </w:rPr>
            </w:pPr>
          </w:p>
        </w:tc>
      </w:tr>
      <w:tr w:rsidR="007F36F8" w:rsidRPr="007F36F8" w14:paraId="59F24D8C" w14:textId="77777777" w:rsidTr="007F36F8">
        <w:trPr>
          <w:trHeight w:val="225"/>
        </w:trPr>
        <w:tc>
          <w:tcPr>
            <w:tcW w:w="1560" w:type="dxa"/>
            <w:tcBorders>
              <w:top w:val="single" w:sz="4" w:space="0" w:color="auto"/>
              <w:left w:val="single" w:sz="4" w:space="0" w:color="auto"/>
              <w:bottom w:val="single" w:sz="4" w:space="0" w:color="auto"/>
              <w:right w:val="single" w:sz="4" w:space="0" w:color="auto"/>
            </w:tcBorders>
            <w:vAlign w:val="center"/>
            <w:hideMark/>
          </w:tcPr>
          <w:p w14:paraId="6D9119A7"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UL-BWP-BW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9211D4" w14:textId="72C6FEA9" w:rsidR="007F36F8" w:rsidRPr="007F36F8" w:rsidRDefault="007F36F8" w:rsidP="007F36F8">
            <w:pPr>
              <w:spacing w:after="0"/>
              <w:rPr>
                <w:rFonts w:cs="Arial"/>
                <w:sz w:val="16"/>
                <w:szCs w:val="16"/>
                <w:lang w:eastAsia="sv-SE"/>
              </w:rPr>
            </w:pPr>
            <w:r w:rsidRPr="007F36F8">
              <w:rPr>
                <w:rFonts w:cs="Arial"/>
                <w:sz w:val="16"/>
                <w:szCs w:val="16"/>
                <w:lang w:eastAsia="sv-SE"/>
              </w:rPr>
              <w:t xml:space="preserve">The applicable </w:t>
            </w:r>
            <w:r w:rsidR="002A6563" w:rsidRPr="007F36F8">
              <w:rPr>
                <w:rFonts w:cs="Arial"/>
                <w:sz w:val="16"/>
                <w:szCs w:val="16"/>
                <w:lang w:eastAsia="sv-SE"/>
              </w:rPr>
              <w:t>bandwidth</w:t>
            </w:r>
            <w:r w:rsidRPr="007F36F8">
              <w:rPr>
                <w:rFonts w:cs="Arial"/>
                <w:sz w:val="16"/>
                <w:szCs w:val="16"/>
                <w:lang w:eastAsia="sv-SE"/>
              </w:rPr>
              <w:t xml:space="preserve"> for the configured UL BWP</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C2DD16" w14:textId="77777777" w:rsidR="007F36F8" w:rsidRPr="007F36F8" w:rsidRDefault="007F36F8" w:rsidP="007F36F8">
            <w:pPr>
              <w:spacing w:after="0"/>
              <w:rPr>
                <w:rFonts w:cs="Arial"/>
                <w:sz w:val="16"/>
                <w:szCs w:val="16"/>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A88490" w14:textId="77777777" w:rsidR="007F36F8" w:rsidRPr="007F36F8" w:rsidRDefault="007F36F8" w:rsidP="007F36F8">
            <w:pPr>
              <w:spacing w:after="0"/>
              <w:jc w:val="center"/>
              <w:rPr>
                <w:rFonts w:ascii="Times New Roman" w:hAnsi="Times New Roman"/>
                <w:lang w:eastAsia="sv-SE"/>
              </w:rPr>
            </w:pPr>
          </w:p>
        </w:tc>
      </w:tr>
      <w:tr w:rsidR="007F36F8" w:rsidRPr="007F36F8" w14:paraId="3B11D208" w14:textId="77777777" w:rsidTr="007F36F8">
        <w:trPr>
          <w:trHeight w:val="225"/>
        </w:trPr>
        <w:tc>
          <w:tcPr>
            <w:tcW w:w="1560" w:type="dxa"/>
            <w:tcBorders>
              <w:top w:val="single" w:sz="4" w:space="0" w:color="auto"/>
              <w:left w:val="single" w:sz="4" w:space="0" w:color="auto"/>
              <w:bottom w:val="single" w:sz="4" w:space="0" w:color="auto"/>
              <w:right w:val="single" w:sz="4" w:space="0" w:color="auto"/>
            </w:tcBorders>
            <w:vAlign w:val="center"/>
            <w:hideMark/>
          </w:tcPr>
          <w:p w14:paraId="23C2769A"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DL-BWP-loc</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4CC723" w14:textId="77777777" w:rsidR="007F36F8" w:rsidRPr="007F36F8" w:rsidRDefault="007F36F8" w:rsidP="007F36F8">
            <w:pPr>
              <w:spacing w:after="0"/>
              <w:rPr>
                <w:rFonts w:cs="Arial"/>
                <w:sz w:val="16"/>
                <w:szCs w:val="16"/>
                <w:lang w:eastAsia="sv-SE"/>
              </w:rPr>
            </w:pPr>
            <w:r w:rsidRPr="007F36F8">
              <w:rPr>
                <w:rFonts w:cs="Arial"/>
                <w:sz w:val="16"/>
                <w:szCs w:val="16"/>
                <w:lang w:eastAsia="sv-SE"/>
              </w:rPr>
              <w:t>Frequency location of the DL-BWP</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8077B5" w14:textId="77777777" w:rsidR="007F36F8" w:rsidRPr="007F36F8" w:rsidRDefault="007F36F8" w:rsidP="007F36F8">
            <w:pPr>
              <w:spacing w:after="0"/>
              <w:rPr>
                <w:rFonts w:cs="Arial"/>
                <w:sz w:val="16"/>
                <w:szCs w:val="16"/>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7D4D78" w14:textId="77777777" w:rsidR="007F36F8" w:rsidRPr="007F36F8" w:rsidRDefault="007F36F8" w:rsidP="007F36F8">
            <w:pPr>
              <w:spacing w:after="0"/>
              <w:jc w:val="center"/>
              <w:rPr>
                <w:rFonts w:ascii="Times New Roman" w:hAnsi="Times New Roman"/>
                <w:lang w:eastAsia="sv-SE"/>
              </w:rPr>
            </w:pPr>
          </w:p>
        </w:tc>
      </w:tr>
      <w:tr w:rsidR="007F36F8" w:rsidRPr="007F36F8" w14:paraId="428AC9D2" w14:textId="77777777" w:rsidTr="007F36F8">
        <w:trPr>
          <w:trHeight w:val="225"/>
        </w:trPr>
        <w:tc>
          <w:tcPr>
            <w:tcW w:w="1560" w:type="dxa"/>
            <w:tcBorders>
              <w:top w:val="single" w:sz="4" w:space="0" w:color="auto"/>
              <w:left w:val="single" w:sz="4" w:space="0" w:color="auto"/>
              <w:bottom w:val="single" w:sz="4" w:space="0" w:color="auto"/>
              <w:right w:val="single" w:sz="4" w:space="0" w:color="auto"/>
            </w:tcBorders>
            <w:vAlign w:val="center"/>
            <w:hideMark/>
          </w:tcPr>
          <w:p w14:paraId="5E990580" w14:textId="77777777" w:rsidR="007F36F8" w:rsidRPr="007F36F8" w:rsidRDefault="007F36F8" w:rsidP="007F36F8">
            <w:pPr>
              <w:spacing w:after="0"/>
              <w:jc w:val="center"/>
              <w:rPr>
                <w:rFonts w:cs="Arial"/>
                <w:sz w:val="16"/>
                <w:szCs w:val="16"/>
                <w:lang w:val="sv-SE" w:eastAsia="sv-SE"/>
              </w:rPr>
            </w:pPr>
            <w:r w:rsidRPr="007F36F8">
              <w:rPr>
                <w:rFonts w:cs="Arial"/>
                <w:sz w:val="16"/>
                <w:szCs w:val="16"/>
                <w:lang w:val="sv-SE" w:eastAsia="sv-SE"/>
              </w:rPr>
              <w:t>UL-BWP-loc</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74E208" w14:textId="77777777" w:rsidR="007F36F8" w:rsidRPr="007F36F8" w:rsidRDefault="007F36F8" w:rsidP="007F36F8">
            <w:pPr>
              <w:spacing w:after="0"/>
              <w:rPr>
                <w:rFonts w:cs="Arial"/>
                <w:sz w:val="16"/>
                <w:szCs w:val="16"/>
                <w:lang w:eastAsia="sv-SE"/>
              </w:rPr>
            </w:pPr>
            <w:r w:rsidRPr="007F36F8">
              <w:rPr>
                <w:rFonts w:cs="Arial"/>
                <w:sz w:val="16"/>
                <w:szCs w:val="16"/>
                <w:lang w:eastAsia="sv-SE"/>
              </w:rPr>
              <w:t>Frequency location of the UL-BWP</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102147" w14:textId="77777777" w:rsidR="007F36F8" w:rsidRPr="007F36F8" w:rsidRDefault="007F36F8" w:rsidP="007F36F8">
            <w:pPr>
              <w:spacing w:after="0"/>
              <w:rPr>
                <w:rFonts w:cs="Arial"/>
                <w:sz w:val="16"/>
                <w:szCs w:val="16"/>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D96880" w14:textId="77777777" w:rsidR="007F36F8" w:rsidRPr="007F36F8" w:rsidRDefault="007F36F8" w:rsidP="007F36F8">
            <w:pPr>
              <w:spacing w:after="0"/>
              <w:jc w:val="center"/>
              <w:rPr>
                <w:rFonts w:ascii="Times New Roman" w:hAnsi="Times New Roman"/>
                <w:lang w:eastAsia="sv-SE"/>
              </w:rPr>
            </w:pPr>
          </w:p>
        </w:tc>
      </w:tr>
    </w:tbl>
    <w:p w14:paraId="54B6A17D" w14:textId="131556D2" w:rsidR="007F36F8" w:rsidRDefault="007F36F8" w:rsidP="007F36F8">
      <w:pPr>
        <w:rPr>
          <w:lang w:eastAsia="x-none"/>
        </w:rPr>
      </w:pPr>
    </w:p>
    <w:p w14:paraId="34B063C6" w14:textId="76C42590" w:rsidR="002A6563" w:rsidRPr="002A6563" w:rsidRDefault="002A6563" w:rsidP="007F36F8">
      <w:pPr>
        <w:rPr>
          <w:b/>
          <w:lang w:eastAsia="x-none"/>
        </w:rPr>
      </w:pPr>
      <w:r w:rsidRPr="002A6563">
        <w:rPr>
          <w:b/>
          <w:lang w:eastAsia="x-none"/>
        </w:rPr>
        <w:t>Proposal</w:t>
      </w:r>
    </w:p>
    <w:p w14:paraId="5DE205F6" w14:textId="58A802B3" w:rsidR="002A6563" w:rsidRDefault="002A6563" w:rsidP="002A6563">
      <w:pPr>
        <w:pStyle w:val="ListParagraph"/>
        <w:numPr>
          <w:ilvl w:val="0"/>
          <w:numId w:val="22"/>
        </w:numPr>
        <w:rPr>
          <w:lang w:eastAsia="x-none"/>
        </w:rPr>
      </w:pPr>
      <w:r>
        <w:rPr>
          <w:lang w:eastAsia="x-none"/>
        </w:rPr>
        <w:t>Ask RAN4 in an LS to provide the applicable bandwidth for a bandwidth parts</w:t>
      </w:r>
    </w:p>
    <w:p w14:paraId="407C6512" w14:textId="7208B9BE" w:rsidR="002A6563" w:rsidRDefault="002A6563" w:rsidP="002A6563">
      <w:pPr>
        <w:pStyle w:val="ListParagraph"/>
        <w:numPr>
          <w:ilvl w:val="0"/>
          <w:numId w:val="22"/>
        </w:numPr>
        <w:rPr>
          <w:lang w:eastAsia="x-none"/>
        </w:rPr>
      </w:pPr>
      <w:r>
        <w:rPr>
          <w:lang w:eastAsia="x-none"/>
        </w:rPr>
        <w:t>Conclude on how to determine frequency location of bandwidth parts</w:t>
      </w:r>
    </w:p>
    <w:p w14:paraId="53CA9C8B" w14:textId="5E547DC4" w:rsidR="002A6563" w:rsidRPr="002A6563" w:rsidRDefault="00951E02" w:rsidP="002A6563">
      <w:pPr>
        <w:pStyle w:val="ListParagraph"/>
        <w:numPr>
          <w:ilvl w:val="0"/>
          <w:numId w:val="22"/>
        </w:numPr>
        <w:rPr>
          <w:lang w:eastAsia="x-none"/>
        </w:rPr>
      </w:pPr>
      <w:r>
        <w:rPr>
          <w:lang w:eastAsia="x-none"/>
        </w:rPr>
        <w:t xml:space="preserve">Conclude on the framework for how bandwidth parts are configured and associated to eachother </w:t>
      </w:r>
    </w:p>
    <w:p w14:paraId="7D5E0D13" w14:textId="77777777" w:rsidR="007F36F8" w:rsidRPr="00DD5305" w:rsidRDefault="007F36F8" w:rsidP="007F36F8">
      <w:pPr>
        <w:pStyle w:val="Heading2"/>
      </w:pPr>
      <w:r>
        <w:t>Other aspects on carrier aggregation</w:t>
      </w:r>
    </w:p>
    <w:p w14:paraId="1C289BD9" w14:textId="77777777" w:rsidR="007F36F8" w:rsidRDefault="007F36F8" w:rsidP="007F36F8">
      <w:pPr>
        <w:rPr>
          <w:rFonts w:eastAsia="MS Mincho"/>
          <w:i/>
          <w:iCs/>
          <w:lang w:eastAsia="ja-JP"/>
        </w:rPr>
      </w:pPr>
      <w:r>
        <w:rPr>
          <w:rFonts w:eastAsia="MS Mincho" w:hint="eastAsia"/>
          <w:i/>
          <w:iCs/>
          <w:lang w:eastAsia="ja-JP"/>
        </w:rPr>
        <w:t>I</w:t>
      </w:r>
      <w:r w:rsidRPr="00C908E4">
        <w:rPr>
          <w:rFonts w:eastAsia="MS Mincho"/>
          <w:i/>
          <w:iCs/>
          <w:lang w:eastAsia="ja-JP"/>
        </w:rPr>
        <w:t>ncluding dual connectivity (if any)</w:t>
      </w:r>
      <w:r>
        <w:rPr>
          <w:rFonts w:eastAsia="MS Mincho"/>
          <w:i/>
          <w:iCs/>
          <w:lang w:eastAsia="ja-JP"/>
        </w:rPr>
        <w:t>, SUL</w:t>
      </w:r>
    </w:p>
    <w:p w14:paraId="5CEF96BE" w14:textId="75FBBF55" w:rsidR="007F36F8" w:rsidRDefault="007A267B" w:rsidP="007F36F8">
      <w:pPr>
        <w:rPr>
          <w:rFonts w:eastAsia="MS Mincho"/>
          <w:iCs/>
          <w:lang w:eastAsia="ja-JP"/>
        </w:rPr>
      </w:pPr>
      <w:r>
        <w:rPr>
          <w:rFonts w:eastAsia="MS Mincho"/>
          <w:iCs/>
          <w:lang w:eastAsia="ja-JP"/>
        </w:rPr>
        <w:t>For carrier aggregation, there are several open points. Mainly, the HARQ-ACK codebook and the corresponding signalling for this would be needed to be put in place. There is here of course a connection to other agenda points. Further there is also need to complete the definitions around SUL that is specific for that type of operation.</w:t>
      </w:r>
    </w:p>
    <w:p w14:paraId="55E81E82" w14:textId="1929AA18" w:rsidR="007A267B" w:rsidRPr="007A267B" w:rsidRDefault="007A267B" w:rsidP="007F36F8">
      <w:pPr>
        <w:rPr>
          <w:rFonts w:eastAsia="MS Mincho"/>
          <w:b/>
          <w:iCs/>
          <w:lang w:eastAsia="ja-JP"/>
        </w:rPr>
      </w:pPr>
      <w:r w:rsidRPr="007A267B">
        <w:rPr>
          <w:rFonts w:eastAsia="MS Mincho"/>
          <w:b/>
          <w:iCs/>
          <w:lang w:eastAsia="ja-JP"/>
        </w:rPr>
        <w:t>Proposal</w:t>
      </w:r>
    </w:p>
    <w:p w14:paraId="6E6F0799" w14:textId="5B3A1D02" w:rsidR="007A267B" w:rsidRDefault="007A267B" w:rsidP="007A267B">
      <w:pPr>
        <w:pStyle w:val="ListParagraph"/>
        <w:numPr>
          <w:ilvl w:val="0"/>
          <w:numId w:val="23"/>
        </w:numPr>
        <w:rPr>
          <w:rFonts w:eastAsia="MS Mincho"/>
          <w:iCs/>
          <w:lang w:eastAsia="ja-JP"/>
        </w:rPr>
      </w:pPr>
      <w:r>
        <w:rPr>
          <w:rFonts w:eastAsia="MS Mincho"/>
          <w:iCs/>
          <w:lang w:eastAsia="ja-JP"/>
        </w:rPr>
        <w:t>Conclude on signaling aspects needed for HARQ-ACK codebook design</w:t>
      </w:r>
    </w:p>
    <w:p w14:paraId="5F77BF86" w14:textId="3480CE83" w:rsidR="007A267B" w:rsidRDefault="007A267B" w:rsidP="007A267B">
      <w:pPr>
        <w:pStyle w:val="ListParagraph"/>
        <w:numPr>
          <w:ilvl w:val="0"/>
          <w:numId w:val="23"/>
        </w:numPr>
        <w:rPr>
          <w:rFonts w:eastAsia="MS Mincho"/>
          <w:iCs/>
          <w:lang w:eastAsia="ja-JP"/>
        </w:rPr>
      </w:pPr>
      <w:r>
        <w:rPr>
          <w:rFonts w:eastAsia="MS Mincho"/>
          <w:iCs/>
          <w:lang w:eastAsia="ja-JP"/>
        </w:rPr>
        <w:t>Conclude on signaling aspects needed for SUL</w:t>
      </w:r>
    </w:p>
    <w:p w14:paraId="4C7F436B" w14:textId="501DDB24" w:rsidR="0010134D" w:rsidRPr="007A267B" w:rsidRDefault="0010134D" w:rsidP="007A267B">
      <w:pPr>
        <w:pStyle w:val="ListParagraph"/>
        <w:numPr>
          <w:ilvl w:val="0"/>
          <w:numId w:val="23"/>
        </w:numPr>
        <w:rPr>
          <w:rFonts w:eastAsia="MS Mincho"/>
          <w:iCs/>
          <w:lang w:eastAsia="ja-JP"/>
        </w:rPr>
      </w:pPr>
      <w:r>
        <w:rPr>
          <w:rFonts w:eastAsia="MS Mincho"/>
          <w:iCs/>
          <w:lang w:eastAsia="ja-JP"/>
        </w:rPr>
        <w:t xml:space="preserve">Conclude on other remaining parts of carrier aggregation </w:t>
      </w:r>
    </w:p>
    <w:p w14:paraId="6E76D8BA" w14:textId="77777777" w:rsidR="007F36F8" w:rsidRPr="00A92B1B" w:rsidRDefault="007F36F8" w:rsidP="007F36F8">
      <w:pPr>
        <w:pStyle w:val="Heading2"/>
      </w:pPr>
      <w:r w:rsidRPr="00A92B1B">
        <w:t>Rate matching aspects for PDSCH</w:t>
      </w:r>
      <w:r>
        <w:t xml:space="preserve"> and PUSCH</w:t>
      </w:r>
    </w:p>
    <w:p w14:paraId="60655260" w14:textId="7E04B9E0" w:rsidR="007F36F8" w:rsidRDefault="007F36F8" w:rsidP="007F36F8">
      <w:pPr>
        <w:rPr>
          <w:i/>
          <w:lang w:eastAsia="x-none"/>
        </w:rPr>
      </w:pPr>
      <w:r w:rsidRPr="00A92B1B">
        <w:rPr>
          <w:i/>
          <w:lang w:eastAsia="x-none"/>
        </w:rPr>
        <w:t xml:space="preserve">Including </w:t>
      </w:r>
      <w:r>
        <w:rPr>
          <w:i/>
          <w:lang w:eastAsia="x-none"/>
        </w:rPr>
        <w:t>PDCCH vs. PDSCH, RS related rate matching, considerations for LTE/future compatible related matching, etc.</w:t>
      </w:r>
    </w:p>
    <w:p w14:paraId="165BBF16" w14:textId="7D5DA0D2" w:rsidR="007A267B" w:rsidRPr="007A267B" w:rsidRDefault="007A267B" w:rsidP="007F36F8">
      <w:pPr>
        <w:rPr>
          <w:lang w:eastAsia="x-none"/>
        </w:rPr>
      </w:pPr>
      <w:r>
        <w:rPr>
          <w:lang w:eastAsia="x-none"/>
        </w:rPr>
        <w:t>This topic has been discussed within multiple agenda items and would be needed to b</w:t>
      </w:r>
      <w:r w:rsidR="0010134D">
        <w:rPr>
          <w:lang w:eastAsia="x-none"/>
        </w:rPr>
        <w:t>e concluded as such. The task as</w:t>
      </w:r>
      <w:r>
        <w:rPr>
          <w:lang w:eastAsia="x-none"/>
        </w:rPr>
        <w:t xml:space="preserve"> such </w:t>
      </w:r>
      <w:r w:rsidR="0010134D">
        <w:rPr>
          <w:lang w:eastAsia="x-none"/>
        </w:rPr>
        <w:t xml:space="preserve">is </w:t>
      </w:r>
      <w:r>
        <w:rPr>
          <w:lang w:eastAsia="x-none"/>
        </w:rPr>
        <w:t>how to rate match or puncture specific resources based on signalling supported. It spans a large set of areas such as NR specific signals/channels(including both RS and CORESETs), coex with NB-IoT/eMTC and forward compatibility support. Cur</w:t>
      </w:r>
      <w:r w:rsidR="00345127">
        <w:rPr>
          <w:lang w:eastAsia="x-none"/>
        </w:rPr>
        <w:t>rently only placeholding parameters are defined.</w:t>
      </w:r>
    </w:p>
    <w:tbl>
      <w:tblPr>
        <w:tblW w:w="9350" w:type="dxa"/>
        <w:tblInd w:w="295" w:type="dxa"/>
        <w:tblCellMar>
          <w:top w:w="15" w:type="dxa"/>
          <w:left w:w="70" w:type="dxa"/>
          <w:bottom w:w="15" w:type="dxa"/>
          <w:right w:w="70" w:type="dxa"/>
        </w:tblCellMar>
        <w:tblLook w:val="04A0" w:firstRow="1" w:lastRow="0" w:firstColumn="1" w:lastColumn="0" w:noHBand="0" w:noVBand="1"/>
      </w:tblPr>
      <w:tblGrid>
        <w:gridCol w:w="2940"/>
        <w:gridCol w:w="1307"/>
        <w:gridCol w:w="2410"/>
        <w:gridCol w:w="2693"/>
      </w:tblGrid>
      <w:tr w:rsidR="007A267B" w:rsidRPr="007A267B" w14:paraId="40B12921" w14:textId="77777777" w:rsidTr="007A267B">
        <w:trPr>
          <w:trHeight w:val="225"/>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6344EA8" w14:textId="77777777" w:rsidR="007A267B" w:rsidRPr="007A267B" w:rsidRDefault="007A267B" w:rsidP="007A267B">
            <w:pPr>
              <w:spacing w:after="0"/>
              <w:jc w:val="center"/>
              <w:rPr>
                <w:rFonts w:cs="Arial"/>
                <w:sz w:val="16"/>
                <w:szCs w:val="16"/>
                <w:lang w:val="sv-SE" w:eastAsia="sv-SE"/>
              </w:rPr>
            </w:pPr>
            <w:r w:rsidRPr="007A267B">
              <w:rPr>
                <w:rFonts w:cs="Arial"/>
                <w:sz w:val="16"/>
                <w:szCs w:val="16"/>
                <w:lang w:val="sv-SE" w:eastAsia="sv-SE"/>
              </w:rPr>
              <w:t>rate-match-resources-PDSCH</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FBA8A6D" w14:textId="77777777" w:rsidR="007A267B" w:rsidRPr="007A267B" w:rsidRDefault="007A267B" w:rsidP="007A267B">
            <w:pPr>
              <w:spacing w:after="0"/>
              <w:rPr>
                <w:rFonts w:cs="Arial"/>
                <w:sz w:val="16"/>
                <w:szCs w:val="16"/>
                <w:lang w:eastAsia="sv-SE"/>
              </w:rPr>
            </w:pPr>
            <w:r w:rsidRPr="007A267B">
              <w:rPr>
                <w:rFonts w:cs="Arial"/>
                <w:sz w:val="16"/>
                <w:szCs w:val="16"/>
                <w:lang w:eastAsia="sv-SE"/>
              </w:rPr>
              <w:t>Resources that the UE should rate match PDSCH around</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425D5A21" w14:textId="77777777" w:rsidR="007A267B" w:rsidRPr="007A267B" w:rsidRDefault="007A267B" w:rsidP="007A267B">
            <w:pPr>
              <w:spacing w:after="0"/>
              <w:rPr>
                <w:rFonts w:cs="Arial"/>
                <w:sz w:val="16"/>
                <w:szCs w:val="16"/>
                <w:lang w:eastAsia="sv-SE"/>
              </w:rPr>
            </w:pP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1257785C" w14:textId="77777777" w:rsidR="007A267B" w:rsidRPr="007A267B" w:rsidRDefault="007A267B" w:rsidP="007A267B">
            <w:pPr>
              <w:spacing w:after="0"/>
              <w:jc w:val="center"/>
              <w:rPr>
                <w:rFonts w:ascii="Times New Roman" w:hAnsi="Times New Roman"/>
                <w:lang w:eastAsia="sv-SE"/>
              </w:rPr>
            </w:pPr>
          </w:p>
        </w:tc>
      </w:tr>
      <w:tr w:rsidR="007A267B" w:rsidRPr="007A267B" w14:paraId="4BD482B5" w14:textId="77777777" w:rsidTr="007A267B">
        <w:trPr>
          <w:trHeight w:val="225"/>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30F51F0" w14:textId="77777777" w:rsidR="007A267B" w:rsidRPr="007A267B" w:rsidRDefault="007A267B" w:rsidP="007A267B">
            <w:pPr>
              <w:spacing w:after="0"/>
              <w:jc w:val="center"/>
              <w:rPr>
                <w:rFonts w:cs="Arial"/>
                <w:sz w:val="16"/>
                <w:szCs w:val="16"/>
                <w:lang w:val="sv-SE" w:eastAsia="sv-SE"/>
              </w:rPr>
            </w:pPr>
            <w:r w:rsidRPr="007A267B">
              <w:rPr>
                <w:rFonts w:cs="Arial"/>
                <w:sz w:val="16"/>
                <w:szCs w:val="16"/>
                <w:lang w:val="sv-SE" w:eastAsia="sv-SE"/>
              </w:rPr>
              <w:t>rate-match-resources-PUSCH</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DC75B40" w14:textId="77777777" w:rsidR="007A267B" w:rsidRPr="007A267B" w:rsidRDefault="007A267B" w:rsidP="007A267B">
            <w:pPr>
              <w:spacing w:after="0"/>
              <w:rPr>
                <w:rFonts w:cs="Arial"/>
                <w:sz w:val="16"/>
                <w:szCs w:val="16"/>
                <w:lang w:eastAsia="sv-SE"/>
              </w:rPr>
            </w:pPr>
            <w:r w:rsidRPr="007A267B">
              <w:rPr>
                <w:rFonts w:cs="Arial"/>
                <w:sz w:val="16"/>
                <w:szCs w:val="16"/>
                <w:lang w:eastAsia="sv-SE"/>
              </w:rPr>
              <w:t>Resources that the UE should rate match PUSCH around</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540471DA" w14:textId="77777777" w:rsidR="007A267B" w:rsidRPr="007A267B" w:rsidRDefault="007A267B" w:rsidP="007A267B">
            <w:pPr>
              <w:spacing w:after="0"/>
              <w:rPr>
                <w:rFonts w:cs="Arial"/>
                <w:sz w:val="16"/>
                <w:szCs w:val="16"/>
                <w:lang w:eastAsia="sv-SE"/>
              </w:rPr>
            </w:pPr>
          </w:p>
        </w:tc>
        <w:tc>
          <w:tcPr>
            <w:tcW w:w="2693" w:type="dxa"/>
            <w:tcBorders>
              <w:top w:val="single" w:sz="4" w:space="0" w:color="auto"/>
              <w:left w:val="single" w:sz="4" w:space="0" w:color="auto"/>
              <w:bottom w:val="single" w:sz="4" w:space="0" w:color="auto"/>
              <w:right w:val="single" w:sz="4" w:space="0" w:color="auto"/>
            </w:tcBorders>
            <w:noWrap/>
            <w:vAlign w:val="center"/>
            <w:hideMark/>
          </w:tcPr>
          <w:p w14:paraId="49909C99" w14:textId="77777777" w:rsidR="007A267B" w:rsidRPr="007A267B" w:rsidRDefault="007A267B" w:rsidP="007A267B">
            <w:pPr>
              <w:spacing w:after="0"/>
              <w:jc w:val="center"/>
              <w:rPr>
                <w:rFonts w:ascii="Times New Roman" w:hAnsi="Times New Roman"/>
                <w:lang w:eastAsia="sv-SE"/>
              </w:rPr>
            </w:pPr>
          </w:p>
        </w:tc>
      </w:tr>
    </w:tbl>
    <w:p w14:paraId="43123016" w14:textId="39DC953B" w:rsidR="00F459B0" w:rsidRDefault="00F459B0" w:rsidP="0030754A">
      <w:pPr>
        <w:pStyle w:val="BodyText"/>
        <w:spacing w:after="240"/>
      </w:pPr>
    </w:p>
    <w:p w14:paraId="5E55DAD0" w14:textId="0C52FD93" w:rsidR="00345127" w:rsidRPr="00345127" w:rsidRDefault="00345127" w:rsidP="0030754A">
      <w:pPr>
        <w:pStyle w:val="BodyText"/>
        <w:spacing w:after="240"/>
        <w:rPr>
          <w:b/>
        </w:rPr>
      </w:pPr>
      <w:r w:rsidRPr="00345127">
        <w:rPr>
          <w:b/>
        </w:rPr>
        <w:t>Proposal</w:t>
      </w:r>
    </w:p>
    <w:p w14:paraId="66D6A107" w14:textId="685E356E" w:rsidR="00345127" w:rsidRPr="007A267B" w:rsidRDefault="00345127" w:rsidP="00345127">
      <w:pPr>
        <w:pStyle w:val="BodyText"/>
        <w:numPr>
          <w:ilvl w:val="0"/>
          <w:numId w:val="24"/>
        </w:numPr>
        <w:spacing w:after="240"/>
      </w:pPr>
      <w:r>
        <w:lastRenderedPageBreak/>
        <w:t>Conclude on signaling needed for rate-matching/puncturing of NR channel and signals due to other NR channel/signals, coex with LTE operation and forward compatibility operation.</w:t>
      </w:r>
    </w:p>
    <w:p w14:paraId="2C1B6BD4" w14:textId="77777777" w:rsidR="00C01F33" w:rsidRPr="007B78FE" w:rsidRDefault="00C01F33" w:rsidP="00CE0424">
      <w:pPr>
        <w:pStyle w:val="Heading1"/>
        <w:rPr>
          <w:lang w:val="en-US"/>
        </w:rPr>
      </w:pPr>
      <w:r w:rsidRPr="007B78FE">
        <w:rPr>
          <w:lang w:val="en-US"/>
        </w:rPr>
        <w:t>Conclusion</w:t>
      </w:r>
    </w:p>
    <w:p w14:paraId="2D235AD5" w14:textId="665D39EE" w:rsidR="001154BD" w:rsidRDefault="007B78FE" w:rsidP="008E065E">
      <w:pPr>
        <w:rPr>
          <w:bCs/>
        </w:rPr>
      </w:pPr>
      <w:r w:rsidRPr="007B78FE">
        <w:rPr>
          <w:bCs/>
        </w:rPr>
        <w:t xml:space="preserve">We </w:t>
      </w:r>
      <w:r w:rsidR="0010118E" w:rsidRPr="007B78FE">
        <w:t>discuss</w:t>
      </w:r>
      <w:r w:rsidR="00DB138E">
        <w:t xml:space="preserve"> RRC parameter for </w:t>
      </w:r>
      <w:r w:rsidR="00951E02" w:rsidRPr="0030754A">
        <w:t>CA, BWP and rate matching</w:t>
      </w:r>
      <w:r w:rsidR="0010118E">
        <w:t>. We propose</w:t>
      </w:r>
    </w:p>
    <w:p w14:paraId="073F5163" w14:textId="77777777" w:rsidR="0010134D" w:rsidRDefault="0010134D" w:rsidP="0010134D">
      <w:pPr>
        <w:pStyle w:val="ListParagraph"/>
        <w:numPr>
          <w:ilvl w:val="0"/>
          <w:numId w:val="22"/>
        </w:numPr>
        <w:rPr>
          <w:lang w:eastAsia="x-none"/>
        </w:rPr>
      </w:pPr>
      <w:r>
        <w:rPr>
          <w:lang w:eastAsia="x-none"/>
        </w:rPr>
        <w:t>Ask RAN4 in an LS to provide the applicable bandwidth for a bandwidth parts</w:t>
      </w:r>
    </w:p>
    <w:p w14:paraId="2321FFBC" w14:textId="77777777" w:rsidR="0010134D" w:rsidRDefault="0010134D" w:rsidP="0010134D">
      <w:pPr>
        <w:pStyle w:val="ListParagraph"/>
        <w:numPr>
          <w:ilvl w:val="0"/>
          <w:numId w:val="22"/>
        </w:numPr>
        <w:rPr>
          <w:lang w:eastAsia="x-none"/>
        </w:rPr>
      </w:pPr>
      <w:r>
        <w:rPr>
          <w:lang w:eastAsia="x-none"/>
        </w:rPr>
        <w:t>Conclude on how to determine frequency location of bandwidth parts</w:t>
      </w:r>
    </w:p>
    <w:p w14:paraId="6A5C8EAF" w14:textId="77777777" w:rsidR="0010134D" w:rsidRPr="002A6563" w:rsidRDefault="0010134D" w:rsidP="0010134D">
      <w:pPr>
        <w:pStyle w:val="ListParagraph"/>
        <w:numPr>
          <w:ilvl w:val="0"/>
          <w:numId w:val="22"/>
        </w:numPr>
        <w:rPr>
          <w:lang w:eastAsia="x-none"/>
        </w:rPr>
      </w:pPr>
      <w:r>
        <w:rPr>
          <w:lang w:eastAsia="x-none"/>
        </w:rPr>
        <w:t xml:space="preserve">Conclude on the framework for how bandwidth parts are configured and associated to eachother </w:t>
      </w:r>
    </w:p>
    <w:p w14:paraId="7318CCCD" w14:textId="77777777" w:rsidR="0010134D" w:rsidRDefault="0010134D" w:rsidP="0010134D">
      <w:pPr>
        <w:pStyle w:val="ListParagraph"/>
        <w:numPr>
          <w:ilvl w:val="0"/>
          <w:numId w:val="22"/>
        </w:numPr>
        <w:rPr>
          <w:rFonts w:eastAsia="MS Mincho"/>
          <w:iCs/>
          <w:lang w:eastAsia="ja-JP"/>
        </w:rPr>
      </w:pPr>
      <w:r>
        <w:rPr>
          <w:rFonts w:eastAsia="MS Mincho"/>
          <w:iCs/>
          <w:lang w:eastAsia="ja-JP"/>
        </w:rPr>
        <w:t>Conclude on signaling aspects needed for HARQ-ACK codebook design</w:t>
      </w:r>
    </w:p>
    <w:p w14:paraId="1975BEF3" w14:textId="77777777" w:rsidR="0010134D" w:rsidRDefault="0010134D" w:rsidP="0010134D">
      <w:pPr>
        <w:pStyle w:val="ListParagraph"/>
        <w:numPr>
          <w:ilvl w:val="0"/>
          <w:numId w:val="22"/>
        </w:numPr>
        <w:rPr>
          <w:rFonts w:eastAsia="MS Mincho"/>
          <w:iCs/>
          <w:lang w:eastAsia="ja-JP"/>
        </w:rPr>
      </w:pPr>
      <w:r>
        <w:rPr>
          <w:rFonts w:eastAsia="MS Mincho"/>
          <w:iCs/>
          <w:lang w:eastAsia="ja-JP"/>
        </w:rPr>
        <w:t>Conclude on signaling aspects needed for SUL</w:t>
      </w:r>
    </w:p>
    <w:p w14:paraId="552B2819" w14:textId="3DA47917" w:rsidR="0010134D" w:rsidRDefault="0010134D" w:rsidP="0010134D">
      <w:pPr>
        <w:pStyle w:val="ListParagraph"/>
        <w:numPr>
          <w:ilvl w:val="0"/>
          <w:numId w:val="22"/>
        </w:numPr>
        <w:rPr>
          <w:rFonts w:eastAsia="MS Mincho"/>
          <w:iCs/>
          <w:lang w:eastAsia="ja-JP"/>
        </w:rPr>
      </w:pPr>
      <w:r>
        <w:rPr>
          <w:rFonts w:eastAsia="MS Mincho"/>
          <w:iCs/>
          <w:lang w:eastAsia="ja-JP"/>
        </w:rPr>
        <w:t xml:space="preserve">Conclude on other remaining parts of carrier aggregation </w:t>
      </w:r>
    </w:p>
    <w:p w14:paraId="69C64A1C" w14:textId="0FE9AD64" w:rsidR="0010134D" w:rsidRPr="0010134D" w:rsidRDefault="0010134D" w:rsidP="0010134D">
      <w:pPr>
        <w:pStyle w:val="BodyText"/>
        <w:numPr>
          <w:ilvl w:val="0"/>
          <w:numId w:val="22"/>
        </w:numPr>
        <w:spacing w:after="240"/>
      </w:pPr>
      <w:r>
        <w:t>Conclude on signaling needed for rate-matching/puncturing of NR channel and signals due to other NR channel/signals, coex with LTE operation and forward compatibility operation.</w:t>
      </w:r>
    </w:p>
    <w:sectPr w:rsidR="0010134D" w:rsidRPr="0010134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A0AD5" w14:textId="77777777" w:rsidR="00E55861" w:rsidRDefault="00E55861">
      <w:r>
        <w:separator/>
      </w:r>
    </w:p>
  </w:endnote>
  <w:endnote w:type="continuationSeparator" w:id="0">
    <w:p w14:paraId="19A76E87" w14:textId="77777777" w:rsidR="00E55861" w:rsidRDefault="00E5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FE180" w14:textId="77777777" w:rsidR="001E01E6" w:rsidRDefault="001E0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C1E7F6B" w:rsidR="00920BF2" w:rsidRPr="001E01E6" w:rsidRDefault="00920BF2" w:rsidP="001E01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C083" w14:textId="77777777" w:rsidR="001E01E6" w:rsidRDefault="001E0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71B2D" w14:textId="77777777" w:rsidR="00E55861" w:rsidRDefault="00E55861">
      <w:r>
        <w:separator/>
      </w:r>
    </w:p>
  </w:footnote>
  <w:footnote w:type="continuationSeparator" w:id="0">
    <w:p w14:paraId="7FAD2584" w14:textId="77777777" w:rsidR="00E55861" w:rsidRDefault="00E5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90B294D" w:rsidR="00920BF2" w:rsidRPr="001E01E6" w:rsidRDefault="00920BF2" w:rsidP="001E0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392CE" w14:textId="77777777" w:rsidR="001E01E6" w:rsidRDefault="001E01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DF513" w14:textId="77777777" w:rsidR="001E01E6" w:rsidRDefault="001E0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73F34"/>
    <w:multiLevelType w:val="hybridMultilevel"/>
    <w:tmpl w:val="BA8AC4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FC756B"/>
    <w:multiLevelType w:val="hybridMultilevel"/>
    <w:tmpl w:val="D206BB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A1821"/>
    <w:multiLevelType w:val="hybridMultilevel"/>
    <w:tmpl w:val="AF783E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BA44EC"/>
    <w:multiLevelType w:val="hybridMultilevel"/>
    <w:tmpl w:val="9782E0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37680"/>
    <w:multiLevelType w:val="hybridMultilevel"/>
    <w:tmpl w:val="AD52A5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E4F3D"/>
    <w:multiLevelType w:val="hybridMultilevel"/>
    <w:tmpl w:val="44D4FF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FD5C0B"/>
    <w:multiLevelType w:val="hybridMultilevel"/>
    <w:tmpl w:val="87C03F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C1401A4"/>
    <w:multiLevelType w:val="hybridMultilevel"/>
    <w:tmpl w:val="43B2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E4A1E7F"/>
    <w:multiLevelType w:val="hybridMultilevel"/>
    <w:tmpl w:val="6D340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5"/>
  </w:num>
  <w:num w:numId="7">
    <w:abstractNumId w:val="19"/>
  </w:num>
  <w:num w:numId="8">
    <w:abstractNumId w:val="9"/>
  </w:num>
  <w:num w:numId="9">
    <w:abstractNumId w:val="18"/>
  </w:num>
  <w:num w:numId="10">
    <w:abstractNumId w:val="1"/>
  </w:num>
  <w:num w:numId="11">
    <w:abstractNumId w:val="3"/>
  </w:num>
  <w:num w:numId="12">
    <w:abstractNumId w:val="5"/>
  </w:num>
  <w:num w:numId="13">
    <w:abstractNumId w:val="8"/>
  </w:num>
  <w:num w:numId="14">
    <w:abstractNumId w:val="10"/>
  </w:num>
  <w:num w:numId="15">
    <w:abstractNumId w:val="4"/>
  </w:num>
  <w:num w:numId="16">
    <w:abstractNumId w:val="13"/>
  </w:num>
  <w:num w:numId="17">
    <w:abstractNumId w:val="22"/>
  </w:num>
  <w:num w:numId="18">
    <w:abstractNumId w:val="14"/>
  </w:num>
  <w:num w:numId="19">
    <w:abstractNumId w:val="20"/>
  </w:num>
  <w:num w:numId="20">
    <w:abstractNumId w:val="2"/>
  </w:num>
  <w:num w:numId="21">
    <w:abstractNumId w:val="21"/>
  </w:num>
  <w:num w:numId="22">
    <w:abstractNumId w:val="16"/>
  </w:num>
  <w:num w:numId="23">
    <w:abstractNumId w:val="6"/>
  </w:num>
  <w:num w:numId="2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8F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134D"/>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676BF"/>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01E6"/>
    <w:rsid w:val="001E544F"/>
    <w:rsid w:val="001E58E2"/>
    <w:rsid w:val="001E7AED"/>
    <w:rsid w:val="001F1095"/>
    <w:rsid w:val="001F20EE"/>
    <w:rsid w:val="001F3916"/>
    <w:rsid w:val="001F54C5"/>
    <w:rsid w:val="001F662C"/>
    <w:rsid w:val="001F7074"/>
    <w:rsid w:val="001F7A2E"/>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A6563"/>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54A"/>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5127"/>
    <w:rsid w:val="00346DB5"/>
    <w:rsid w:val="003477B1"/>
    <w:rsid w:val="00352421"/>
    <w:rsid w:val="00357380"/>
    <w:rsid w:val="003602D9"/>
    <w:rsid w:val="003604CE"/>
    <w:rsid w:val="00360828"/>
    <w:rsid w:val="0036414E"/>
    <w:rsid w:val="00370E47"/>
    <w:rsid w:val="003742AC"/>
    <w:rsid w:val="00376A32"/>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3A11"/>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8DD"/>
    <w:rsid w:val="00795C92"/>
    <w:rsid w:val="00796231"/>
    <w:rsid w:val="00797B44"/>
    <w:rsid w:val="007A1CB3"/>
    <w:rsid w:val="007A267B"/>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7F36F8"/>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1AD4"/>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5EF9"/>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1E02"/>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3150"/>
    <w:rsid w:val="00A45B74"/>
    <w:rsid w:val="00A473ED"/>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3910"/>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66"/>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34F1"/>
    <w:rsid w:val="00C040F7"/>
    <w:rsid w:val="00C041B0"/>
    <w:rsid w:val="00C044AB"/>
    <w:rsid w:val="00C05706"/>
    <w:rsid w:val="00C07377"/>
    <w:rsid w:val="00C10478"/>
    <w:rsid w:val="00C1120A"/>
    <w:rsid w:val="00C12107"/>
    <w:rsid w:val="00C14D4B"/>
    <w:rsid w:val="00C154BB"/>
    <w:rsid w:val="00C17133"/>
    <w:rsid w:val="00C201FD"/>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1853"/>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1FEB"/>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5861"/>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2C6D"/>
    <w:rsid w:val="00F154BD"/>
    <w:rsid w:val="00F15FA5"/>
    <w:rsid w:val="00F17FAC"/>
    <w:rsid w:val="00F209B7"/>
    <w:rsid w:val="00F2376F"/>
    <w:rsid w:val="00F243D8"/>
    <w:rsid w:val="00F30828"/>
    <w:rsid w:val="00F313D6"/>
    <w:rsid w:val="00F337A1"/>
    <w:rsid w:val="00F40F0C"/>
    <w:rsid w:val="00F41B4E"/>
    <w:rsid w:val="00F459B0"/>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A1FEB"/>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A1F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1FE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aliases w:val="- Bullets"/>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spacing w:after="0"/>
    </w:pPr>
    <w:rPr>
      <w:rFonts w:ascii="Times New Roman" w:hAnsi="Times New Roman"/>
      <w:szCs w:val="24"/>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211">
    <w:name w:val="font211"/>
    <w:basedOn w:val="DefaultParagraphFont"/>
    <w:rsid w:val="00F459B0"/>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37766738">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332607627">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471752088">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37823887">
      <w:bodyDiv w:val="1"/>
      <w:marLeft w:val="0"/>
      <w:marRight w:val="0"/>
      <w:marTop w:val="0"/>
      <w:marBottom w:val="0"/>
      <w:divBdr>
        <w:top w:val="none" w:sz="0" w:space="0" w:color="auto"/>
        <w:left w:val="none" w:sz="0" w:space="0" w:color="auto"/>
        <w:bottom w:val="none" w:sz="0" w:space="0" w:color="auto"/>
        <w:right w:val="none" w:sz="0" w:space="0" w:color="auto"/>
      </w:divBdr>
    </w:div>
    <w:div w:id="740299725">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868833971">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179734102">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89017387">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70415762">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65831592">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755</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2017-10-02T16:30:00Z</dcterms:created>
  <dcterms:modified xsi:type="dcterms:W3CDTF">2017-10-03T05:59:00Z</dcterms:modified>
</cp:coreProperties>
</file>